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A8" w:rsidRPr="00BF79FA" w:rsidRDefault="00FF7FA8" w:rsidP="00FF7FA8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FF7FA8" w:rsidRDefault="00FF7FA8" w:rsidP="00FF7FA8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FF7FA8" w:rsidRPr="00BF79FA" w:rsidRDefault="00FF7FA8" w:rsidP="00FF7FA8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январе-</w:t>
      </w:r>
      <w:r w:rsidR="00AC5A45">
        <w:rPr>
          <w:rFonts w:ascii="Times New Roman" w:hAnsi="Times New Roman" w:cs="Times New Roman"/>
        </w:rPr>
        <w:t>август</w:t>
      </w:r>
      <w:r w:rsidRPr="00BF79FA">
        <w:rPr>
          <w:rFonts w:ascii="Times New Roman" w:hAnsi="Times New Roman" w:cs="Times New Roman"/>
        </w:rPr>
        <w:t xml:space="preserve">е 2020 года населению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Москвы</w:t>
      </w:r>
      <w:r w:rsidRPr="00BF79FA">
        <w:rPr>
          <w:rFonts w:ascii="Times New Roman" w:hAnsi="Times New Roman" w:cs="Times New Roman"/>
        </w:rPr>
        <w:t xml:space="preserve"> по предварительным данным было оказано платных услуг на </w:t>
      </w:r>
      <w:r w:rsidR="00AC5A45">
        <w:rPr>
          <w:rFonts w:ascii="Times New Roman" w:hAnsi="Times New Roman" w:cs="Times New Roman"/>
        </w:rPr>
        <w:t>937,6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 w:rsidR="00AC5A45">
        <w:rPr>
          <w:rFonts w:ascii="Times New Roman" w:hAnsi="Times New Roman" w:cs="Times New Roman"/>
        </w:rPr>
        <w:t>69,8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2019 года.</w:t>
      </w: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4195"/>
        <w:gridCol w:w="2835"/>
        <w:gridCol w:w="2241"/>
      </w:tblGrid>
      <w:tr w:rsidR="00FF7FA8" w:rsidTr="00FC54CD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9271" w:type="dxa"/>
            <w:gridSpan w:val="3"/>
          </w:tcPr>
          <w:p w:rsidR="00FF7FA8" w:rsidRPr="00BF79FA" w:rsidRDefault="00FF7FA8" w:rsidP="00796DD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73.5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FD6A60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Pr="00E05896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48,6</w:t>
            </w:r>
          </w:p>
        </w:tc>
        <w:tc>
          <w:tcPr>
            <w:tcW w:w="2241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115,9</w:t>
            </w:r>
          </w:p>
        </w:tc>
      </w:tr>
      <w:tr w:rsidR="00FF7FA8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2835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72.5</w:t>
            </w:r>
          </w:p>
        </w:tc>
        <w:tc>
          <w:tcPr>
            <w:tcW w:w="2241" w:type="dxa"/>
            <w:vAlign w:val="bottom"/>
          </w:tcPr>
          <w:p w:rsidR="00FF7FA8" w:rsidRDefault="00FF7FA8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E05896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E05896" w:rsidRPr="00796DDF" w:rsidRDefault="00E05896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vAlign w:val="bottom"/>
          </w:tcPr>
          <w:p w:rsidR="00E05896" w:rsidRDefault="000D1EE3" w:rsidP="004E25DE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4E25D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,8</w:t>
            </w:r>
          </w:p>
        </w:tc>
        <w:tc>
          <w:tcPr>
            <w:tcW w:w="2241" w:type="dxa"/>
            <w:vAlign w:val="bottom"/>
          </w:tcPr>
          <w:p w:rsidR="00E05896" w:rsidRDefault="000D1EE3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E05896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E05896" w:rsidRPr="00796DDF" w:rsidRDefault="00E05896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Январь-июль</w:t>
            </w:r>
          </w:p>
        </w:tc>
        <w:tc>
          <w:tcPr>
            <w:tcW w:w="2835" w:type="dxa"/>
            <w:vAlign w:val="bottom"/>
          </w:tcPr>
          <w:p w:rsidR="00E05896" w:rsidRDefault="00E05896" w:rsidP="000D1EE3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0D1EE3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D1EE3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2241" w:type="dxa"/>
            <w:vAlign w:val="bottom"/>
          </w:tcPr>
          <w:p w:rsidR="00E05896" w:rsidRDefault="00E05896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AC5A45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AC5A45" w:rsidRPr="00AC5A45" w:rsidRDefault="00AC5A45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AC5A45" w:rsidRDefault="00AC5A45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62,5</w:t>
            </w:r>
          </w:p>
        </w:tc>
        <w:tc>
          <w:tcPr>
            <w:tcW w:w="2241" w:type="dxa"/>
            <w:vAlign w:val="bottom"/>
          </w:tcPr>
          <w:p w:rsidR="00AC5A45" w:rsidRDefault="00AC5A45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106,4</w:t>
            </w:r>
          </w:p>
        </w:tc>
      </w:tr>
      <w:tr w:rsidR="00AC5A45" w:rsidTr="00FC54CD">
        <w:trPr>
          <w:trHeight w:val="113"/>
          <w:jc w:val="center"/>
        </w:trPr>
        <w:tc>
          <w:tcPr>
            <w:tcW w:w="4195" w:type="dxa"/>
            <w:vAlign w:val="bottom"/>
          </w:tcPr>
          <w:p w:rsidR="00AC5A45" w:rsidRPr="00AC5A45" w:rsidRDefault="00AC5A45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Январь-август</w:t>
            </w:r>
            <w:r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AC5A45" w:rsidRDefault="00AC5A45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69,8</w:t>
            </w:r>
          </w:p>
        </w:tc>
        <w:tc>
          <w:tcPr>
            <w:tcW w:w="2241" w:type="dxa"/>
            <w:vAlign w:val="bottom"/>
          </w:tcPr>
          <w:p w:rsidR="00AC5A45" w:rsidRDefault="00772FB4" w:rsidP="00FC54CD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</w:tbl>
    <w:p w:rsidR="00FF7FA8" w:rsidRDefault="00FF7FA8" w:rsidP="00E05896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7FA8" w:rsidRPr="00FC54CD" w:rsidRDefault="00FC54CD" w:rsidP="00796DDF">
      <w:pPr>
        <w:spacing w:after="0" w:line="240" w:lineRule="auto"/>
        <w:jc w:val="both"/>
        <w:rPr>
          <w:sz w:val="18"/>
          <w:szCs w:val="18"/>
        </w:rPr>
      </w:pPr>
      <w:r w:rsidRPr="00853341">
        <w:rPr>
          <w:rFonts w:ascii="Arial" w:hAnsi="Arial" w:cs="Arial"/>
          <w:sz w:val="18"/>
          <w:szCs w:val="18"/>
          <w:vertAlign w:val="superscript"/>
        </w:rPr>
        <w:t>1</w:t>
      </w:r>
      <w:r w:rsidRPr="00FC54CD">
        <w:rPr>
          <w:rFonts w:ascii="Arial" w:hAnsi="Arial" w:cs="Arial"/>
          <w:sz w:val="16"/>
          <w:szCs w:val="16"/>
        </w:rPr>
        <w:t xml:space="preserve"> </w:t>
      </w:r>
      <w:r w:rsidRPr="00FC54CD">
        <w:rPr>
          <w:rStyle w:val="a5"/>
          <w:rFonts w:ascii="Arial" w:hAnsi="Arial" w:cs="Arial"/>
          <w:sz w:val="18"/>
          <w:szCs w:val="18"/>
        </w:rPr>
        <w:t xml:space="preserve"> </w:t>
      </w:r>
      <w:r w:rsidR="00853341" w:rsidRPr="00853341">
        <w:rPr>
          <w:rFonts w:ascii="Arial" w:hAnsi="Arial" w:cs="Arial"/>
          <w:sz w:val="18"/>
          <w:szCs w:val="18"/>
        </w:rPr>
        <w:t xml:space="preserve"> </w:t>
      </w:r>
      <w:r w:rsidRPr="00FC54CD">
        <w:rPr>
          <w:rFonts w:ascii="Arial" w:hAnsi="Arial" w:cs="Arial"/>
          <w:sz w:val="18"/>
          <w:szCs w:val="18"/>
        </w:rPr>
        <w:t>П</w:t>
      </w:r>
      <w:r w:rsidR="00FF7FA8" w:rsidRPr="00FC54CD">
        <w:rPr>
          <w:rFonts w:ascii="Arial" w:hAnsi="Arial" w:cs="Arial"/>
          <w:sz w:val="18"/>
          <w:szCs w:val="18"/>
        </w:rPr>
        <w:t xml:space="preserve">оказатели  изменены за счет уточнения респондентами предварительных данных за </w:t>
      </w:r>
      <w:r w:rsidR="00796DDF">
        <w:rPr>
          <w:rFonts w:ascii="Arial" w:hAnsi="Arial" w:cs="Arial"/>
          <w:sz w:val="18"/>
          <w:szCs w:val="18"/>
        </w:rPr>
        <w:t>ию</w:t>
      </w:r>
      <w:r w:rsidR="000D1EE3">
        <w:rPr>
          <w:rFonts w:ascii="Arial" w:hAnsi="Arial" w:cs="Arial"/>
          <w:sz w:val="18"/>
          <w:szCs w:val="18"/>
        </w:rPr>
        <w:t>л</w:t>
      </w:r>
      <w:r w:rsidR="00796DDF">
        <w:rPr>
          <w:rFonts w:ascii="Arial" w:hAnsi="Arial" w:cs="Arial"/>
          <w:sz w:val="18"/>
          <w:szCs w:val="18"/>
        </w:rPr>
        <w:t>ь</w:t>
      </w:r>
      <w:r w:rsidR="000D1EE3">
        <w:rPr>
          <w:rFonts w:ascii="Arial" w:hAnsi="Arial" w:cs="Arial"/>
          <w:sz w:val="18"/>
          <w:szCs w:val="18"/>
        </w:rPr>
        <w:t xml:space="preserve"> в отчете за август</w:t>
      </w:r>
      <w:r w:rsidR="00796DDF">
        <w:rPr>
          <w:rFonts w:ascii="Arial" w:hAnsi="Arial" w:cs="Arial"/>
          <w:sz w:val="18"/>
          <w:szCs w:val="18"/>
        </w:rPr>
        <w:t>.</w:t>
      </w:r>
    </w:p>
    <w:p w:rsidR="00FF7FA8" w:rsidRDefault="00FF7FA8" w:rsidP="00FF7FA8">
      <w:pPr>
        <w:spacing w:line="288" w:lineRule="auto"/>
        <w:ind w:firstLine="709"/>
        <w:rPr>
          <w:rFonts w:ascii="Arial" w:hAnsi="Arial" w:cs="Arial"/>
        </w:rPr>
      </w:pPr>
    </w:p>
    <w:p w:rsidR="00FF7FA8" w:rsidRPr="00BF79FA" w:rsidRDefault="00FF7FA8" w:rsidP="00FF7FA8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платных услуг населению по видам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2552"/>
        <w:gridCol w:w="2268"/>
        <w:gridCol w:w="2410"/>
        <w:gridCol w:w="2551"/>
      </w:tblGrid>
      <w:tr w:rsidR="00FF7FA8" w:rsidTr="00FC54CD">
        <w:trPr>
          <w:trHeight w:val="2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FF7FA8" w:rsidRPr="00BF79FA" w:rsidRDefault="00FF7FA8" w:rsidP="00E823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январь-</w:t>
            </w:r>
            <w:r w:rsidR="00E823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FF7FA8" w:rsidTr="00FC54CD">
        <w:trPr>
          <w:trHeight w:val="20"/>
        </w:trPr>
        <w:tc>
          <w:tcPr>
            <w:tcW w:w="2552" w:type="dxa"/>
            <w:vMerge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миллионов 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сопоставимых ценах    </w:t>
            </w:r>
            <w:proofErr w:type="gramStart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</w:t>
            </w:r>
          </w:p>
        </w:tc>
      </w:tr>
      <w:tr w:rsidR="00FF7FA8" w:rsidTr="00FC54CD">
        <w:trPr>
          <w:trHeight w:val="20"/>
        </w:trPr>
        <w:tc>
          <w:tcPr>
            <w:tcW w:w="2552" w:type="dxa"/>
            <w:vMerge/>
            <w:shd w:val="clear" w:color="auto" w:fill="B6DDE8" w:themeFill="accent5" w:themeFillTint="66"/>
          </w:tcPr>
          <w:p w:rsidR="00FF7FA8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FF7FA8" w:rsidRDefault="00FF7FA8" w:rsidP="00FC54C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оответствующему периоду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FF7FA8" w:rsidRPr="00BF79FA" w:rsidRDefault="00FF7FA8" w:rsidP="00FC54C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итогу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2268" w:type="dxa"/>
            <w:vAlign w:val="bottom"/>
          </w:tcPr>
          <w:p w:rsidR="00FF7FA8" w:rsidRPr="00BF79FA" w:rsidRDefault="00E823C7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937582,1</w:t>
            </w:r>
          </w:p>
        </w:tc>
        <w:tc>
          <w:tcPr>
            <w:tcW w:w="2410" w:type="dxa"/>
            <w:vAlign w:val="bottom"/>
          </w:tcPr>
          <w:p w:rsidR="00FF7FA8" w:rsidRPr="00BF79FA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69,8</w:t>
            </w:r>
          </w:p>
        </w:tc>
        <w:tc>
          <w:tcPr>
            <w:tcW w:w="2551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 w:rsidRPr="00BF79FA">
              <w:rPr>
                <w:rFonts w:ascii="Arial" w:eastAsia="Times New Roman" w:hAnsi="Arial" w:cs="Arial"/>
                <w:bCs/>
                <w:sz w:val="18"/>
                <w:szCs w:val="21"/>
              </w:rPr>
              <w:t>100,0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BF79FA" w:rsidRDefault="00FF7FA8" w:rsidP="00FC54CD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FF7FA8" w:rsidRPr="00BF79FA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50995,8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91,3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253611,5</w:t>
            </w:r>
          </w:p>
        </w:tc>
        <w:tc>
          <w:tcPr>
            <w:tcW w:w="2410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46,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0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2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7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5647,6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109,6</w:t>
            </w:r>
          </w:p>
        </w:tc>
        <w:tc>
          <w:tcPr>
            <w:tcW w:w="2551" w:type="dxa"/>
            <w:vAlign w:val="bottom"/>
          </w:tcPr>
          <w:p w:rsidR="00FF7FA8" w:rsidRPr="00881552" w:rsidRDefault="00FF7FA8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6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183162,9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92,3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spacing w:before="108" w:after="108"/>
              <w:ind w:left="227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19,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121481,4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86,0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3</w:t>
            </w: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0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61262,8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97,8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14079,2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50,7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5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5485,0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39,3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0,6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5C3BFC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13291,</w:t>
            </w:r>
            <w:r w:rsidR="005C3BFC">
              <w:rPr>
                <w:rFonts w:ascii="Arial" w:eastAsia="Times New Roman" w:hAnsi="Arial" w:cs="Arial"/>
                <w:bCs/>
                <w:sz w:val="18"/>
                <w:szCs w:val="21"/>
              </w:rPr>
              <w:t>4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40,6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7744,8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59,5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0,8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75767,9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88,4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2C7AE0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1187,</w:t>
            </w:r>
            <w:r w:rsidR="002C7AE0">
              <w:rPr>
                <w:rFonts w:ascii="Arial" w:eastAsia="Times New Roman" w:hAnsi="Arial" w:cs="Arial"/>
                <w:bCs/>
                <w:sz w:val="18"/>
                <w:szCs w:val="21"/>
              </w:rPr>
              <w:t>2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66,3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FF7FA8" w:rsidRPr="00881552" w:rsidRDefault="00FF7FA8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1146,0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81,5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9D1817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897,6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60,9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12688,4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95,8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1,4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78177,3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98,4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D02533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8,</w:t>
            </w:r>
            <w:r w:rsidR="00D02533">
              <w:rPr>
                <w:rFonts w:ascii="Arial" w:eastAsia="Times New Roman" w:hAnsi="Arial" w:cs="Arial"/>
                <w:bCs/>
                <w:sz w:val="18"/>
                <w:szCs w:val="21"/>
              </w:rPr>
              <w:t>3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573,2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71,2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0,1</w:t>
            </w:r>
          </w:p>
        </w:tc>
      </w:tr>
      <w:tr w:rsidR="00FF7FA8" w:rsidTr="00FC54CD">
        <w:trPr>
          <w:trHeight w:val="170"/>
        </w:trPr>
        <w:tc>
          <w:tcPr>
            <w:tcW w:w="2552" w:type="dxa"/>
            <w:vAlign w:val="bottom"/>
          </w:tcPr>
          <w:p w:rsidR="00FF7FA8" w:rsidRPr="00881552" w:rsidRDefault="00FF7FA8" w:rsidP="00FC54CD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2268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51528,1</w:t>
            </w:r>
          </w:p>
        </w:tc>
        <w:tc>
          <w:tcPr>
            <w:tcW w:w="2410" w:type="dxa"/>
            <w:vAlign w:val="bottom"/>
          </w:tcPr>
          <w:p w:rsidR="00FF7FA8" w:rsidRPr="00881552" w:rsidRDefault="00D02533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89,6</w:t>
            </w:r>
          </w:p>
        </w:tc>
        <w:tc>
          <w:tcPr>
            <w:tcW w:w="2551" w:type="dxa"/>
            <w:vAlign w:val="bottom"/>
          </w:tcPr>
          <w:p w:rsidR="00FF7FA8" w:rsidRPr="00881552" w:rsidRDefault="00E05896" w:rsidP="00FC54CD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1"/>
              </w:rPr>
              <w:t>5,5</w:t>
            </w:r>
          </w:p>
        </w:tc>
      </w:tr>
    </w:tbl>
    <w:p w:rsidR="00FF7FA8" w:rsidRPr="001D451A" w:rsidRDefault="00FF7FA8" w:rsidP="00FF7FA8">
      <w:pPr>
        <w:pageBreakBefore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Структура платных услуг населению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январе-</w:t>
      </w:r>
      <w:r w:rsidR="00164A47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D4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FF7FA8" w:rsidRPr="00C42E64" w:rsidRDefault="00FF7FA8" w:rsidP="00FF7FA8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8071338"/>
            <wp:effectExtent l="0" t="0" r="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A8"/>
    <w:rsid w:val="000C6084"/>
    <w:rsid w:val="000D1EE3"/>
    <w:rsid w:val="00164A47"/>
    <w:rsid w:val="00191C61"/>
    <w:rsid w:val="0028673B"/>
    <w:rsid w:val="002C7AE0"/>
    <w:rsid w:val="00376D3F"/>
    <w:rsid w:val="00427FA8"/>
    <w:rsid w:val="004944D4"/>
    <w:rsid w:val="004E25DE"/>
    <w:rsid w:val="005C3BFC"/>
    <w:rsid w:val="005E675C"/>
    <w:rsid w:val="0064327F"/>
    <w:rsid w:val="00683596"/>
    <w:rsid w:val="00764AD4"/>
    <w:rsid w:val="00772FB4"/>
    <w:rsid w:val="00796DDF"/>
    <w:rsid w:val="00823345"/>
    <w:rsid w:val="00853341"/>
    <w:rsid w:val="00896614"/>
    <w:rsid w:val="0092307F"/>
    <w:rsid w:val="009D1817"/>
    <w:rsid w:val="00A22CC4"/>
    <w:rsid w:val="00A32A87"/>
    <w:rsid w:val="00AC5A45"/>
    <w:rsid w:val="00B67B6C"/>
    <w:rsid w:val="00BD47B7"/>
    <w:rsid w:val="00C24EC3"/>
    <w:rsid w:val="00D02533"/>
    <w:rsid w:val="00E05896"/>
    <w:rsid w:val="00E554D9"/>
    <w:rsid w:val="00E823C7"/>
    <w:rsid w:val="00EF40EB"/>
    <w:rsid w:val="00F03436"/>
    <w:rsid w:val="00F95E9B"/>
    <w:rsid w:val="00FC54CD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F7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F7FA8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FF7FA8"/>
    <w:rPr>
      <w:vertAlign w:val="superscript"/>
    </w:rPr>
  </w:style>
  <w:style w:type="table" w:styleId="a6">
    <w:name w:val="Table Grid"/>
    <w:basedOn w:val="a1"/>
    <w:uiPriority w:val="59"/>
    <w:rsid w:val="00FF7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FF7FA8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F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81E-2"/>
          <c:y val="0.14621475200215375"/>
          <c:w val="0.97102833601459837"/>
          <c:h val="0.582340332458443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779E-2"/>
                </c:manualLayout>
              </c:layout>
              <c:showVal val="1"/>
            </c:dLbl>
            <c:dLbl>
              <c:idx val="1"/>
              <c:layout>
                <c:manualLayout>
                  <c:x val="-3.5181670094220026E-2"/>
                  <c:y val="-6.4407766336900568E-2"/>
                </c:manualLayout>
              </c:layout>
              <c:showVal val="1"/>
            </c:dLbl>
            <c:dLbl>
              <c:idx val="2"/>
              <c:layout>
                <c:manualLayout>
                  <c:x val="-3.9318849782574279E-2"/>
                  <c:y val="6.4712968571237497E-2"/>
                </c:manualLayout>
              </c:layout>
              <c:showVal val="1"/>
            </c:dLbl>
            <c:dLbl>
              <c:idx val="3"/>
              <c:layout>
                <c:manualLayout>
                  <c:x val="-4.9666035579745839E-2"/>
                  <c:y val="6.8376068376068383E-2"/>
                </c:manualLayout>
              </c:layout>
              <c:showVal val="1"/>
            </c:dLbl>
            <c:dLbl>
              <c:idx val="4"/>
              <c:layout>
                <c:manualLayout>
                  <c:x val="-5.5873923400419523E-2"/>
                  <c:y val="5.4334410121813136E-2"/>
                </c:manualLayout>
              </c:layout>
              <c:showVal val="1"/>
            </c:dLbl>
            <c:dLbl>
              <c:idx val="5"/>
              <c:layout>
                <c:manualLayout>
                  <c:x val="-1.4485831992701358E-2"/>
                  <c:y val="5.5555555555555539E-2"/>
                </c:manualLayout>
              </c:layout>
              <c:showVal val="1"/>
            </c:dLbl>
            <c:dLbl>
              <c:idx val="6"/>
              <c:layout>
                <c:manualLayout>
                  <c:x val="-2.4832854844630877E-2"/>
                  <c:y val="6.4102564102564139E-2"/>
                </c:manualLayout>
              </c:layout>
              <c:showVal val="1"/>
            </c:dLbl>
            <c:dLbl>
              <c:idx val="7"/>
              <c:layout>
                <c:manualLayout>
                  <c:x val="-3.9318686837332181E-2"/>
                  <c:y val="8.119658119658121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48.6</c:v>
                </c:pt>
                <c:pt idx="6">
                  <c:v>59.8</c:v>
                </c:pt>
                <c:pt idx="7">
                  <c:v>62.5</c:v>
                </c:pt>
              </c:numCache>
            </c:numRef>
          </c:val>
        </c:ser>
        <c:marker val="1"/>
        <c:axId val="48681728"/>
        <c:axId val="48683264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Val val="1"/>
            </c:dLbl>
            <c:dLbl>
              <c:idx val="1"/>
              <c:layout>
                <c:manualLayout>
                  <c:x val="-4.7596468064117901E-2"/>
                  <c:y val="5.9828723332660524E-2"/>
                </c:manualLayout>
              </c:layout>
              <c:showVal val="1"/>
            </c:dLbl>
            <c:dLbl>
              <c:idx val="2"/>
              <c:layout>
                <c:manualLayout>
                  <c:x val="-6.2082137111578043E-3"/>
                  <c:y val="-1.9841269841270232E-2"/>
                </c:manualLayout>
              </c:layout>
              <c:showVal val="1"/>
            </c:dLbl>
            <c:dLbl>
              <c:idx val="3"/>
              <c:layout>
                <c:manualLayout>
                  <c:x val="-3.72492822669468E-2"/>
                  <c:y val="-6.3492496130293383E-2"/>
                </c:manualLayout>
              </c:layout>
              <c:showVal val="1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-4.13880914077185E-2"/>
                  <c:y val="-6.8376068376068383E-2"/>
                </c:manualLayout>
              </c:layout>
              <c:showVal val="1"/>
            </c:dLbl>
            <c:dLbl>
              <c:idx val="6"/>
              <c:layout>
                <c:manualLayout>
                  <c:x val="-2.4832854844630877E-2"/>
                  <c:y val="-7.6923076923077024E-2"/>
                </c:manualLayout>
              </c:layout>
              <c:showVal val="1"/>
            </c:dLbl>
            <c:dLbl>
              <c:idx val="7"/>
              <c:layout>
                <c:manualLayout>
                  <c:x val="-2.6902259415016855E-2"/>
                  <c:y val="-6.4102564102564139E-2"/>
                </c:manualLayout>
              </c:layout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115.9</c:v>
                </c:pt>
                <c:pt idx="6">
                  <c:v>117.3</c:v>
                </c:pt>
                <c:pt idx="7">
                  <c:v>106.4</c:v>
                </c:pt>
              </c:numCache>
            </c:numRef>
          </c:val>
        </c:ser>
        <c:marker val="1"/>
        <c:axId val="49288704"/>
        <c:axId val="49287168"/>
      </c:lineChart>
      <c:catAx>
        <c:axId val="48681728"/>
        <c:scaling>
          <c:orientation val="minMax"/>
        </c:scaling>
        <c:axPos val="b"/>
        <c:tickLblPos val="nextTo"/>
        <c:crossAx val="48683264"/>
        <c:crosses val="autoZero"/>
        <c:auto val="1"/>
        <c:lblAlgn val="ctr"/>
        <c:lblOffset val="100"/>
      </c:catAx>
      <c:valAx>
        <c:axId val="48683264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48681728"/>
        <c:crosses val="autoZero"/>
        <c:crossBetween val="between"/>
        <c:majorUnit val="40"/>
      </c:valAx>
      <c:valAx>
        <c:axId val="49287168"/>
        <c:scaling>
          <c:orientation val="minMax"/>
        </c:scaling>
        <c:axPos val="r"/>
        <c:numFmt formatCode="General" sourceLinked="1"/>
        <c:tickLblPos val="none"/>
        <c:crossAx val="49288704"/>
        <c:crosses val="max"/>
        <c:crossBetween val="between"/>
      </c:valAx>
      <c:catAx>
        <c:axId val="49288704"/>
        <c:scaling>
          <c:orientation val="minMax"/>
        </c:scaling>
        <c:delete val="1"/>
        <c:axPos val="b"/>
        <c:tickLblPos val="nextTo"/>
        <c:crossAx val="49287168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1981E-2"/>
          <c:y val="0.91289870016247965"/>
          <c:w val="0.93045461359963544"/>
          <c:h val="6.329177602799679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0"/>
      <c:perspective val="0"/>
    </c:view3D>
    <c:plotArea>
      <c:layout>
        <c:manualLayout>
          <c:layoutTarget val="inner"/>
          <c:xMode val="edge"/>
          <c:yMode val="edge"/>
          <c:x val="0.14143208431344709"/>
          <c:y val="5.9610202147234434E-2"/>
          <c:w val="0.75194409057934608"/>
          <c:h val="0.48962798218280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4"/>
          <c:dPt>
            <c:idx val="0"/>
            <c:explosion val="9"/>
            <c:spPr>
              <a:solidFill>
                <a:schemeClr val="accent5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4"/>
            <c:explosion val="1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explosion val="5"/>
            <c:spPr>
              <a:solidFill>
                <a:schemeClr val="accent2"/>
              </a:solidFill>
            </c:spPr>
          </c:dPt>
          <c:dPt>
            <c:idx val="6"/>
            <c:explosion val="8"/>
            <c:spPr>
              <a:solidFill>
                <a:schemeClr val="bg1">
                  <a:lumMod val="75000"/>
                </a:schemeClr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-1.5197714389196499E-2"/>
                  <c:y val="-1.0403479571788481E-2"/>
                </c:manualLayout>
              </c:layout>
              <c:showVal val="1"/>
            </c:dLbl>
            <c:dLbl>
              <c:idx val="1"/>
              <c:layout>
                <c:manualLayout>
                  <c:x val="-4.0297067567522799E-3"/>
                  <c:y val="-2.6573041545280692E-3"/>
                </c:manualLayout>
              </c:layout>
              <c:showVal val="1"/>
            </c:dLbl>
            <c:dLbl>
              <c:idx val="2"/>
              <c:layout>
                <c:manualLayout>
                  <c:x val="8.3130185514480761E-4"/>
                  <c:y val="-3.3109752063412252E-3"/>
                </c:manualLayout>
              </c:layout>
              <c:showVal val="1"/>
            </c:dLbl>
            <c:dLbl>
              <c:idx val="3"/>
              <c:layout>
                <c:manualLayout>
                  <c:x val="4.1351608109913814E-3"/>
                  <c:y val="-3.9963634282197081E-3"/>
                </c:manualLayout>
              </c:layout>
              <c:showVal val="1"/>
            </c:dLbl>
            <c:dLbl>
              <c:idx val="4"/>
              <c:layout>
                <c:manualLayout>
                  <c:x val="2.0335881223053232E-2"/>
                  <c:y val="3.30411480133963E-3"/>
                </c:manualLayout>
              </c:layout>
              <c:showVal val="1"/>
            </c:dLbl>
            <c:dLbl>
              <c:idx val="5"/>
              <c:layout>
                <c:manualLayout>
                  <c:x val="-1.6656035376614503E-2"/>
                  <c:y val="7.6250059159955882E-3"/>
                </c:manualLayout>
              </c:layout>
              <c:showVal val="1"/>
            </c:dLbl>
            <c:dLbl>
              <c:idx val="6"/>
              <c:layout>
                <c:manualLayout>
                  <c:x val="1.3490021249084221E-3"/>
                  <c:y val="1.3889642584661918E-2"/>
                </c:manualLayout>
              </c:layout>
              <c:showVal val="1"/>
            </c:dLbl>
            <c:dLbl>
              <c:idx val="7"/>
              <c:layout>
                <c:manualLayout>
                  <c:x val="4.4215246999896934E-3"/>
                  <c:y val="-3.3916309786556002E-3"/>
                </c:manualLayout>
              </c:layout>
              <c:showVal val="1"/>
            </c:dLbl>
            <c:dLbl>
              <c:idx val="8"/>
              <c:layout>
                <c:manualLayout>
                  <c:x val="5.0746772977113908E-3"/>
                  <c:y val="-7.1233542691434785E-3"/>
                </c:manualLayout>
              </c:layout>
              <c:showVal val="1"/>
            </c:dLbl>
            <c:dLbl>
              <c:idx val="9"/>
              <c:layout>
                <c:manualLayout>
                  <c:x val="2.359391833770548E-2"/>
                  <c:y val="-7.7569542992747924E-3"/>
                </c:manualLayout>
              </c:layout>
              <c:showVal val="1"/>
            </c:dLbl>
            <c:dLbl>
              <c:idx val="10"/>
              <c:layout>
                <c:manualLayout>
                  <c:x val="7.5426334361863648E-3"/>
                  <c:y val="-9.0852346909521867E-4"/>
                </c:manualLayout>
              </c:layout>
              <c:showVal val="1"/>
            </c:dLbl>
            <c:dLbl>
              <c:idx val="11"/>
              <c:layout>
                <c:manualLayout>
                  <c:x val="-4.3515164587461165E-2"/>
                  <c:y val="6.3457880217629523E-3"/>
                </c:manualLayout>
              </c:layout>
              <c:showVal val="1"/>
            </c:dLbl>
            <c:dLbl>
              <c:idx val="12"/>
              <c:layout>
                <c:manualLayout>
                  <c:x val="-1.6990433311261136E-3"/>
                  <c:y val="1.4250425394154069E-3"/>
                </c:manualLayout>
              </c:layout>
              <c:showVal val="1"/>
            </c:dLbl>
            <c:dLbl>
              <c:idx val="13"/>
              <c:layout>
                <c:manualLayout>
                  <c:x val="2.4525337130906211E-2"/>
                  <c:y val="-4.4275187087940071E-3"/>
                </c:manualLayout>
              </c:layout>
              <c:showVal val="1"/>
            </c:dLbl>
            <c:dLbl>
              <c:idx val="14"/>
              <c:layout>
                <c:manualLayout>
                  <c:x val="2.1072406998910202E-4"/>
                  <c:y val="-2.770916048863376E-3"/>
                </c:manualLayout>
              </c:layout>
              <c:showVal val="1"/>
            </c:dLbl>
            <c:dLbl>
              <c:idx val="15"/>
              <c:layout>
                <c:manualLayout>
                  <c:x val="-1.1563138268484991E-3"/>
                  <c:y val="-9.6236832108877578E-3"/>
                </c:manualLayout>
              </c:layout>
              <c:showVal val="1"/>
            </c:dLbl>
            <c:dLbl>
              <c:idx val="16"/>
              <c:layout>
                <c:manualLayout>
                  <c:x val="-1.0341122701037265E-3"/>
                  <c:y val="-5.7373387163317914E-3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коммунальные</c:v>
                </c:pt>
                <c:pt idx="5">
                  <c:v>жилищные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ветеринарные</c:v>
                </c:pt>
                <c:pt idx="13">
                  <c:v>юридические</c:v>
                </c:pt>
                <c:pt idx="14">
                  <c:v>системы образования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платные услуги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5.4</c:v>
                </c:pt>
                <c:pt idx="1">
                  <c:v>27.1</c:v>
                </c:pt>
                <c:pt idx="2">
                  <c:v>0.60000000000000064</c:v>
                </c:pt>
                <c:pt idx="3">
                  <c:v>19.5</c:v>
                </c:pt>
                <c:pt idx="4">
                  <c:v>13</c:v>
                </c:pt>
                <c:pt idx="5">
                  <c:v>6.5</c:v>
                </c:pt>
                <c:pt idx="6">
                  <c:v>1.5</c:v>
                </c:pt>
                <c:pt idx="7">
                  <c:v>0.60000000000000064</c:v>
                </c:pt>
                <c:pt idx="8">
                  <c:v>1.4</c:v>
                </c:pt>
                <c:pt idx="9">
                  <c:v>0.8</c:v>
                </c:pt>
                <c:pt idx="10">
                  <c:v>8.1</c:v>
                </c:pt>
                <c:pt idx="11">
                  <c:v>0.1</c:v>
                </c:pt>
                <c:pt idx="12">
                  <c:v>0.1</c:v>
                </c:pt>
                <c:pt idx="13">
                  <c:v>1.4</c:v>
                </c:pt>
                <c:pt idx="14">
                  <c:v>8.3000000000000007</c:v>
                </c:pt>
                <c:pt idx="15">
                  <c:v>0.1</c:v>
                </c:pt>
                <c:pt idx="16">
                  <c:v>5.5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1.6036009706926081E-2"/>
          <c:y val="0.49288184932907458"/>
          <c:w val="0.96568491948132062"/>
          <c:h val="0.5068032090837976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20</cp:revision>
  <cp:lastPrinted>2020-08-10T07:42:00Z</cp:lastPrinted>
  <dcterms:created xsi:type="dcterms:W3CDTF">2020-08-04T09:08:00Z</dcterms:created>
  <dcterms:modified xsi:type="dcterms:W3CDTF">2020-09-21T06:57:00Z</dcterms:modified>
</cp:coreProperties>
</file>